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d18ecc0b0948b8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35020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DOM ZDRAVLJA VUKOVAR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5.102.093,61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5.341.726,15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104,7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5.084.705,38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4.918.874,41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17.388,23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422.851,74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2431,8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846.874,29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269.800,91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31,9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846.874,29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269.000,91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31,8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I PRIMITAKA (šifre X678-Y345)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153.850,83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 izvještajnom razdoblju I.-XII.2025. ostvareni su ukupni prihodi poslovanja u iznosu 5.341.726,15 EUR dok su ukupni rashodi poslovanja 4.918.874,41 EUR što je rezultiralo viškom prihoda poslovanja u iznosu 422.851,74 EUR. Ukupni rashodi za nabavu nefinancijske imovine (šifra 4) iznose 269.800,91 EUR, a odnose se na rashode za nabavu proizvedene dugotrajne imovine u iznosu 184.997,16 EUR (šifra 42) i rashode za dodatna ulaganja na nefinancijskoj imovinu u iznosu 84.803,75 EUR (šifra 45). Na kraju izvještajnog razdoblja ostvaren je višak prihoda i primitaka u iznosu 153.850,83 EUR (šifra X005).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128.165,16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Ukupno stanje dospjelih obveza iznosi 128.165,16 EUR, a odnosi se na : obveze za lijekove u iznosu 3.082,11 EUR, obveze za sanitetski materijal u iznosu 45.281,66 EUR, obveze za energiju 3.130,48 EUR, obveze za ostale materijale i reprodukcijski materijal u iznosu 6.220,40 EUR, obveze za proizvodne i neproizvodne usluge u iznosu 9.886,85 EUR i ostale nespomenute obveze u iznosu 34.605,38 EUR. Osnovni razlog ovakvog stanja dospjelih obveza leži u činjenici da prihodi od HZZO-a kao i prihodi iz nadležnog proračuna nisu dostatni za pokriće svih rashoda poslovanja.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EU izvještaj</w:t>
      </w:r>
    </w:p>
    <w:p>
      <w:r>
        <w:t xml:space="preserve">U sklopu EU programa specijalističko usavršavanje doktora medicine u 2025. godini na ime Pomoći temeljem prijenosa EU sredstava ostvaren je iznos od 9.965,23 EUR (šifra 638).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ab2159236e4c46f4" /></Relationships>
</file>